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BD1E" w14:textId="5452C644" w:rsidR="00436600" w:rsidRPr="00671EFD" w:rsidRDefault="00436600" w:rsidP="0096612B">
      <w:pPr>
        <w:widowControl/>
        <w:ind w:firstLineChars="300" w:firstLine="1566"/>
        <w:rPr>
          <w:rFonts w:ascii="方正小标宋简体" w:eastAsia="方正小标宋简体" w:hAnsi="宋体" w:cs="宋体"/>
          <w:b/>
          <w:bCs/>
          <w:color w:val="000000"/>
          <w:kern w:val="0"/>
          <w:sz w:val="52"/>
          <w:szCs w:val="52"/>
        </w:rPr>
      </w:pPr>
      <w:bookmarkStart w:id="0" w:name="_GoBack"/>
      <w:bookmarkEnd w:id="0"/>
      <w:r w:rsidRPr="00671EF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52"/>
          <w:szCs w:val="52"/>
        </w:rPr>
        <w:t>泰州市201</w:t>
      </w:r>
      <w:r w:rsidR="00671EFD" w:rsidRPr="00671EFD">
        <w:rPr>
          <w:rFonts w:ascii="方正小标宋简体" w:eastAsia="方正小标宋简体" w:hAnsi="宋体" w:cs="宋体"/>
          <w:b/>
          <w:bCs/>
          <w:color w:val="000000"/>
          <w:kern w:val="0"/>
          <w:sz w:val="52"/>
          <w:szCs w:val="52"/>
        </w:rPr>
        <w:t>9</w:t>
      </w:r>
      <w:r w:rsidRPr="00671EF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52"/>
          <w:szCs w:val="52"/>
        </w:rPr>
        <w:t>年</w:t>
      </w:r>
      <w:r w:rsidR="0096612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52"/>
          <w:szCs w:val="52"/>
        </w:rPr>
        <w:t>“</w:t>
      </w:r>
      <w:r w:rsidRPr="00671EF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52"/>
          <w:szCs w:val="52"/>
        </w:rPr>
        <w:t>扬子江杯</w:t>
      </w:r>
      <w:r w:rsidR="0096612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52"/>
          <w:szCs w:val="52"/>
        </w:rPr>
        <w:t>”</w:t>
      </w:r>
      <w:r w:rsidRPr="00671EF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52"/>
          <w:szCs w:val="52"/>
        </w:rPr>
        <w:t>优秀论文评选结果</w:t>
      </w:r>
      <w:r w:rsidR="0096612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52"/>
          <w:szCs w:val="52"/>
        </w:rPr>
        <w:t>公示</w:t>
      </w:r>
    </w:p>
    <w:p w14:paraId="618EC192" w14:textId="77777777" w:rsidR="00F82ED0" w:rsidRPr="00F82ED0" w:rsidRDefault="00F82ED0" w:rsidP="00F21667">
      <w:pPr>
        <w:widowControl/>
        <w:ind w:firstLineChars="1400" w:firstLine="4498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16581" w:type="dxa"/>
        <w:tblLook w:val="04A0" w:firstRow="1" w:lastRow="0" w:firstColumn="1" w:lastColumn="0" w:noHBand="0" w:noVBand="1"/>
      </w:tblPr>
      <w:tblGrid>
        <w:gridCol w:w="1040"/>
        <w:gridCol w:w="7900"/>
        <w:gridCol w:w="3460"/>
        <w:gridCol w:w="2763"/>
        <w:gridCol w:w="1418"/>
      </w:tblGrid>
      <w:tr w:rsidR="00F82ED0" w:rsidRPr="00F82ED0" w14:paraId="7B4E8A1E" w14:textId="77777777" w:rsidTr="00C66C0E">
        <w:trPr>
          <w:gridAfter w:val="1"/>
          <w:wAfter w:w="1418" w:type="dxa"/>
          <w:trHeight w:val="440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0A7F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F82ED0" w:rsidRPr="00F82ED0" w14:paraId="0CA529C8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4E4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932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01D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00E" w14:textId="77777777" w:rsidR="00F82ED0" w:rsidRPr="00F82ED0" w:rsidRDefault="00F82ED0" w:rsidP="00F82ED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作者姓名</w:t>
            </w:r>
          </w:p>
        </w:tc>
      </w:tr>
      <w:tr w:rsidR="00725C7F" w:rsidRPr="00F82ED0" w14:paraId="2C025064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6A85" w14:textId="6BCCD03C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725C7F">
              <w:rPr>
                <w:rFonts w:ascii="等线" w:eastAsia="等线" w:hAnsi="等线" w:cs="宋体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44FC" w14:textId="78A5C11D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阿法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替尼治疗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非小细胞肺癌的快速卫生技术评估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5B21" w14:textId="09EE7B70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3D3" w14:textId="1D021B95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70EEC">
              <w:rPr>
                <w:rFonts w:ascii="等线" w:eastAsia="等线" w:hAnsi="等线" w:cs="宋体" w:hint="eastAsia"/>
                <w:kern w:val="0"/>
                <w:sz w:val="22"/>
              </w:rPr>
              <w:t>纪汶君</w:t>
            </w:r>
            <w:proofErr w:type="gramEnd"/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Pr="00D70EEC">
              <w:rPr>
                <w:rFonts w:ascii="等线" w:eastAsia="等线" w:hAnsi="等线" w:cs="宋体" w:hint="eastAsia"/>
                <w:kern w:val="0"/>
                <w:sz w:val="22"/>
              </w:rPr>
              <w:t>瞿建江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 </w:t>
            </w:r>
            <w:r w:rsidRPr="00D70EEC">
              <w:rPr>
                <w:rFonts w:ascii="等线" w:eastAsia="等线" w:hAnsi="等线" w:cs="宋体" w:hint="eastAsia"/>
                <w:kern w:val="0"/>
                <w:sz w:val="22"/>
              </w:rPr>
              <w:t>陈庆年</w:t>
            </w:r>
          </w:p>
        </w:tc>
      </w:tr>
      <w:tr w:rsidR="00725C7F" w:rsidRPr="00F82ED0" w14:paraId="18003CE2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853" w14:textId="768DB951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08A9C" w14:textId="4D90ECBB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HPLC-CAD法测定铁皮石斛中果糖、葡萄糖、甘露糖和蔗糖的含量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5013" w14:textId="0506789E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B4BB" w14:textId="3C0BDF19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白钢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钢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袁斐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仇雅静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陈骁鹏</w:t>
            </w:r>
          </w:p>
        </w:tc>
      </w:tr>
      <w:tr w:rsidR="00725C7F" w:rsidRPr="00F82ED0" w14:paraId="5AA30D9C" w14:textId="77777777" w:rsidTr="00C66C0E">
        <w:trPr>
          <w:gridAfter w:val="1"/>
          <w:wAfter w:w="1418" w:type="dxa"/>
          <w:trHeight w:val="440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3208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t>二等奖</w:t>
            </w:r>
          </w:p>
        </w:tc>
      </w:tr>
      <w:tr w:rsidR="00725C7F" w:rsidRPr="00F82ED0" w14:paraId="142E6C32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60F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75DE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8604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FC0E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</w:tr>
      <w:tr w:rsidR="00725C7F" w:rsidRPr="00F82ED0" w14:paraId="44A3E34D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65BC" w14:textId="29A904E1" w:rsidR="00725C7F" w:rsidRP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725C7F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CD51" w14:textId="307066E1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处方前置审核的实践与效果分析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651B" w14:textId="63278919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靖江市人民医院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9DFE" w14:textId="7EC3693B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赵广玉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钮佳丽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黄继勋</w:t>
            </w:r>
          </w:p>
        </w:tc>
      </w:tr>
      <w:tr w:rsidR="00725C7F" w:rsidRPr="00F82ED0" w14:paraId="73F1EA5D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2834" w14:textId="0920C668" w:rsidR="00725C7F" w:rsidRP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3547" w14:textId="1E32EE04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非布司他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与别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嘌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醇预防肿瘤溶解综合征的临床疗效与安全性的比较研究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84DD" w14:textId="22E1CC12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23B" w14:textId="4B5EA65B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李进东 </w:t>
            </w:r>
            <w:r w:rsidRPr="00A30843">
              <w:rPr>
                <w:rFonts w:ascii="等线" w:eastAsia="等线" w:hAnsi="等线" w:cs="宋体"/>
                <w:color w:val="000000"/>
                <w:kern w:val="0"/>
                <w:sz w:val="22"/>
              </w:rPr>
              <w:t>凌亚</w:t>
            </w:r>
          </w:p>
        </w:tc>
      </w:tr>
      <w:tr w:rsidR="00725C7F" w:rsidRPr="00F82ED0" w14:paraId="6FD62BCD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7C1A" w14:textId="3D78D805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C54B" w14:textId="3D5CCD6A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PDCA法应用于急诊科抗菌药物管理的实践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8B8A" w14:textId="2C411E7F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F6EF" w14:textId="392D78A2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石爱平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恽祥惠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吕建峰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成宏伟</w:t>
            </w:r>
          </w:p>
        </w:tc>
      </w:tr>
      <w:tr w:rsidR="00725C7F" w:rsidRPr="00F82ED0" w14:paraId="4EDA5AE2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6C98F" w14:textId="2880398D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F3ACE" w14:textId="502D80AE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异甘草酸镁对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卡培他滨致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大鼠肝损伤的保护作用观察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FD217" w14:textId="7CAE7A89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泰兴人民医院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B3B7" w14:textId="4C9FC61E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吕建峰 </w:t>
            </w:r>
            <w:proofErr w:type="gramStart"/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石爱平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王志鹏</w:t>
            </w:r>
          </w:p>
        </w:tc>
      </w:tr>
      <w:tr w:rsidR="00725C7F" w:rsidRPr="00F82ED0" w14:paraId="2483834A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83E71" w14:textId="55E87941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6585" w14:textId="62EDCD36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HPLC法测定滴眼液中6种常用抑菌剂的含量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36B71" w14:textId="57E66D87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DBCDE" w14:textId="3E04B6E0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吴珺</w:t>
            </w:r>
          </w:p>
        </w:tc>
      </w:tr>
      <w:tr w:rsidR="00725C7F" w:rsidRPr="00F82ED0" w14:paraId="739CB5FD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7BFAB" w14:textId="2928C959" w:rsidR="00725C7F" w:rsidRPr="00F82ED0" w:rsidRDefault="00725C7F" w:rsidP="00725C7F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0F23E" w14:textId="34C689EC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HPLC法同时测定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妇炎舒胶囊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中马钱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苷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、芍药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苷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、丹参素钠、大黄素、    大黄素甲醚、绿原酸的含量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9F650" w14:textId="3FA5F72E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20F8" w14:textId="60817E2F" w:rsidR="00725C7F" w:rsidRDefault="00725C7F" w:rsidP="00725C7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叶慧 </w:t>
            </w:r>
            <w:proofErr w:type="gramStart"/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徐加兵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陈骁鹏</w:t>
            </w:r>
          </w:p>
        </w:tc>
      </w:tr>
      <w:tr w:rsidR="00725C7F" w:rsidRPr="00F82ED0" w14:paraId="225B4C2F" w14:textId="77777777" w:rsidTr="00C66C0E">
        <w:trPr>
          <w:gridAfter w:val="1"/>
          <w:wAfter w:w="1418" w:type="dxa"/>
          <w:trHeight w:val="440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51C" w14:textId="6D3418D2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725C7F" w:rsidRPr="00F82ED0" w14:paraId="28AD451A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680A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0D9D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32E6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8CEE" w14:textId="77777777" w:rsidR="00725C7F" w:rsidRPr="00F82ED0" w:rsidRDefault="00725C7F" w:rsidP="00725C7F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</w:tr>
      <w:tr w:rsidR="00F05FA9" w:rsidRPr="00F82ED0" w14:paraId="30EBC941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CA98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DC05" w14:textId="761A3043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临床药师对肿瘤患者辅助用药医嘱实时干预的效果分析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8B7F" w14:textId="65BA62B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859E" w14:textId="3A69E15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卢佳姝</w:t>
            </w:r>
          </w:p>
        </w:tc>
      </w:tr>
      <w:tr w:rsidR="00F05FA9" w:rsidRPr="00F82ED0" w14:paraId="4111AC30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87B2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6A3A3" w14:textId="26FB59B0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对氨基水杨酸肠溶颗粒单次、多次给药人体药代动力学                               和生物等效性研究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743E" w14:textId="13AC783A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21B4" w14:textId="5A8D00E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刘舒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A308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毛耀</w:t>
            </w:r>
            <w:proofErr w:type="gramEnd"/>
            <w:r w:rsidRPr="00A308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</w:t>
            </w:r>
            <w:r w:rsidRPr="00A308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李廷霞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</w:t>
            </w:r>
            <w:r w:rsidRPr="00A308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谭志荣</w:t>
            </w:r>
          </w:p>
        </w:tc>
      </w:tr>
      <w:tr w:rsidR="00F05FA9" w:rsidRPr="00F82ED0" w14:paraId="2ABB59A1" w14:textId="0FF738E8" w:rsidTr="00C66C0E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974F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4A4CA" w14:textId="0E095EA0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肥胖患者药学服务的实践和分析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B339" w14:textId="187FD2C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26362" w14:textId="7AC5EE09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李娜 </w:t>
            </w:r>
            <w:proofErr w:type="gramStart"/>
            <w:r w:rsidRPr="00A308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花慧莲</w:t>
            </w:r>
            <w:proofErr w:type="gramEnd"/>
          </w:p>
        </w:tc>
        <w:tc>
          <w:tcPr>
            <w:tcW w:w="1418" w:type="dxa"/>
            <w:vAlign w:val="center"/>
          </w:tcPr>
          <w:p w14:paraId="1A4EE39E" w14:textId="5F30A0EA" w:rsidR="00F05FA9" w:rsidRPr="00F82ED0" w:rsidRDefault="00F05FA9" w:rsidP="00F05FA9">
            <w:pPr>
              <w:widowControl/>
              <w:jc w:val="left"/>
            </w:pPr>
          </w:p>
        </w:tc>
      </w:tr>
      <w:tr w:rsidR="00F05FA9" w:rsidRPr="00F82ED0" w14:paraId="30DED33B" w14:textId="77777777" w:rsidTr="00F03678">
        <w:trPr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BFE8" w14:textId="3D4FA521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4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D0D55" w14:textId="5A76F05A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基于中国老年人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潜在不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适当用药判断标准（2017版）调查门诊老年病                                                                                  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科患者潜在不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适当用药及危险因素分析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5EDA" w14:textId="1FEF81BE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BD63" w14:textId="42510FB8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吴玉婷 </w:t>
            </w:r>
            <w:proofErr w:type="gramStart"/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李智勤</w:t>
            </w:r>
            <w:proofErr w:type="gramEnd"/>
          </w:p>
        </w:tc>
        <w:tc>
          <w:tcPr>
            <w:tcW w:w="1418" w:type="dxa"/>
            <w:vAlign w:val="center"/>
          </w:tcPr>
          <w:p w14:paraId="7FE28A41" w14:textId="77777777" w:rsidR="00F05FA9" w:rsidRDefault="00F05FA9" w:rsidP="00F05FA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05FA9" w:rsidRPr="00F82ED0" w14:paraId="0C6DE1FA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43B6" w14:textId="1EB4B2FC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48F3C" w14:textId="6486CD8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高效液相色谱法测定顺气通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腑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合剂中芦荟大黄素的含量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BCDA" w14:textId="22877143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泰州市中医院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4B8AE" w14:textId="4110DA2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殷生楠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李进东 </w:t>
            </w:r>
            <w:proofErr w:type="gramStart"/>
            <w:r w:rsidRPr="005F1EF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李智勤</w:t>
            </w:r>
            <w:proofErr w:type="gramEnd"/>
          </w:p>
        </w:tc>
      </w:tr>
      <w:tr w:rsidR="00F05FA9" w:rsidRPr="00F82ED0" w14:paraId="4FFE39D1" w14:textId="77777777" w:rsidTr="00074644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E379" w14:textId="4E591231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6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86E1" w14:textId="66AF928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活血止痛胶囊在水和胃肠液中的溶出砷的形态分析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C2B32" w14:textId="7894FA1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2059D" w14:textId="064B354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方静 </w:t>
            </w:r>
            <w:proofErr w:type="gramStart"/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朱琼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钱保勇</w:t>
            </w:r>
          </w:p>
        </w:tc>
      </w:tr>
      <w:tr w:rsidR="00F05FA9" w:rsidRPr="00F82ED0" w14:paraId="58E85589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E256" w14:textId="261F8710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7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EE2A" w14:textId="45E69A9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气相色谱质谱法测定感冒止咳颗粒中薄荷脑的含量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6A77" w14:textId="3AC4EC45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553B0" w14:textId="440DDED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屈蓉</w:t>
            </w:r>
            <w:proofErr w:type="gramEnd"/>
          </w:p>
        </w:tc>
      </w:tr>
      <w:tr w:rsidR="00F05FA9" w:rsidRPr="00F82ED0" w14:paraId="35E67D45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575D" w14:textId="1BE3FA7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8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26886" w14:textId="0EFC7105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HPLC-CAD法测定尿素乳膏含量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09912" w14:textId="0588852B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D30CF" w14:textId="7951F9A5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赵慧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F05FA9" w:rsidRPr="00F82ED0" w14:paraId="26E1BA8A" w14:textId="77777777" w:rsidTr="00EA6B41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9482" w14:textId="5D0BC44A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9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3444" w14:textId="588467CB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基于热图和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聚类分析的毛冬青无机元素含量评价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E3E7" w14:textId="6A8EBE1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EEE89" w14:textId="627BD7AC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姜玮</w:t>
            </w:r>
          </w:p>
        </w:tc>
      </w:tr>
      <w:tr w:rsidR="00F05FA9" w:rsidRPr="00F82ED0" w14:paraId="23D1B8BB" w14:textId="77777777" w:rsidTr="00EA6B41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FF86" w14:textId="3CD5B5F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10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84C7" w14:textId="5D0BEC19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浒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苔染色体的显微观察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C2FA" w14:textId="2D6D5B8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泰州职业技术学院药学院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EADE4" w14:textId="575CA80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王建柱</w:t>
            </w:r>
          </w:p>
        </w:tc>
      </w:tr>
      <w:tr w:rsidR="00F05FA9" w:rsidRPr="00F82ED0" w14:paraId="6CBE6055" w14:textId="77777777" w:rsidTr="00EA6B41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349CE6D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90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1810B47" w14:textId="6CF91886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E9A4542" w14:textId="715BE1FA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F5FE41A" w14:textId="37090D9C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05FA9" w:rsidRPr="00F82ED0" w14:paraId="5E5CF53E" w14:textId="77777777" w:rsidTr="00EA6B41">
        <w:trPr>
          <w:gridAfter w:val="1"/>
          <w:wAfter w:w="1418" w:type="dxa"/>
          <w:trHeight w:val="440"/>
        </w:trPr>
        <w:tc>
          <w:tcPr>
            <w:tcW w:w="1040" w:type="dxa"/>
            <w:shd w:val="clear" w:color="000000" w:fill="FFFFFF"/>
            <w:vAlign w:val="center"/>
          </w:tcPr>
          <w:p w14:paraId="0A1C9050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900" w:type="dxa"/>
            <w:shd w:val="clear" w:color="000000" w:fill="FFFFFF"/>
            <w:vAlign w:val="center"/>
          </w:tcPr>
          <w:p w14:paraId="04D914D9" w14:textId="58C7AE6B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shd w:val="clear" w:color="000000" w:fill="FFFFFF"/>
            <w:vAlign w:val="center"/>
          </w:tcPr>
          <w:p w14:paraId="17017CC3" w14:textId="5BF4C8C9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shd w:val="clear" w:color="000000" w:fill="FFFFFF"/>
            <w:vAlign w:val="center"/>
          </w:tcPr>
          <w:p w14:paraId="2F1BF399" w14:textId="25738652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05FA9" w:rsidRPr="00F82ED0" w14:paraId="28B84F95" w14:textId="77777777" w:rsidTr="00725C7F">
        <w:trPr>
          <w:gridAfter w:val="1"/>
          <w:wAfter w:w="1418" w:type="dxa"/>
          <w:trHeight w:val="440"/>
        </w:trPr>
        <w:tc>
          <w:tcPr>
            <w:tcW w:w="1040" w:type="dxa"/>
            <w:shd w:val="clear" w:color="000000" w:fill="FFFFFF"/>
            <w:vAlign w:val="center"/>
          </w:tcPr>
          <w:p w14:paraId="60E33849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7900" w:type="dxa"/>
            <w:shd w:val="clear" w:color="000000" w:fill="FFFFFF"/>
            <w:vAlign w:val="center"/>
          </w:tcPr>
          <w:p w14:paraId="5C2639D8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4A2A1EA8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14:paraId="07F33D09" w14:textId="4185EEE2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460" w:type="dxa"/>
            <w:shd w:val="clear" w:color="000000" w:fill="FFFFFF"/>
            <w:vAlign w:val="center"/>
          </w:tcPr>
          <w:p w14:paraId="1979470E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763" w:type="dxa"/>
            <w:shd w:val="clear" w:color="000000" w:fill="FFFFFF"/>
            <w:vAlign w:val="center"/>
          </w:tcPr>
          <w:p w14:paraId="5CA7B42F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05FA9" w:rsidRPr="00F82ED0" w14:paraId="423DEB0A" w14:textId="77777777" w:rsidTr="00725C7F">
        <w:trPr>
          <w:gridAfter w:val="1"/>
          <w:wAfter w:w="1418" w:type="dxa"/>
          <w:trHeight w:val="440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9A8D" w14:textId="620CB27F" w:rsidR="00F05FA9" w:rsidRPr="00F82ED0" w:rsidRDefault="00F05FA9" w:rsidP="00F05FA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28"/>
                <w:szCs w:val="28"/>
              </w:rPr>
            </w:pPr>
            <w:r w:rsidRPr="00F82ED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鼓励奖</w:t>
            </w:r>
          </w:p>
        </w:tc>
      </w:tr>
      <w:tr w:rsidR="00F05FA9" w:rsidRPr="00F82ED0" w14:paraId="38DF1E58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3FA" w14:textId="77777777" w:rsidR="00F05FA9" w:rsidRPr="00F82ED0" w:rsidRDefault="00F05FA9" w:rsidP="00F05FA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5364" w14:textId="77777777" w:rsidR="00F05FA9" w:rsidRPr="00F82ED0" w:rsidRDefault="00F05FA9" w:rsidP="00F05FA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770" w14:textId="77777777" w:rsidR="00F05FA9" w:rsidRPr="00F82ED0" w:rsidRDefault="00F05FA9" w:rsidP="00F05FA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1CD" w14:textId="77777777" w:rsidR="00F05FA9" w:rsidRPr="00F82ED0" w:rsidRDefault="00F05FA9" w:rsidP="00F05FA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4"/>
                <w:szCs w:val="24"/>
              </w:rPr>
            </w:pPr>
            <w:r w:rsidRPr="00F82ED0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</w:tr>
      <w:tr w:rsidR="00F05FA9" w:rsidRPr="00F82ED0" w14:paraId="5F25533B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EAA3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552CC" w14:textId="1786E53A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维生素D的有关物质制备方法研究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61EF3" w14:textId="2D14B0D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04A8" w14:textId="6A127E15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</w:tr>
      <w:tr w:rsidR="00F05FA9" w:rsidRPr="00F82ED0" w14:paraId="008C37F3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F319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8D8CD" w14:textId="0F97B413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糖皮质激素临床应用需要药学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部监督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的必要性分析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1EB1" w14:textId="49E3F493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04D8E" w14:textId="4D58FDEE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王玉刚</w:t>
            </w:r>
          </w:p>
        </w:tc>
      </w:tr>
      <w:tr w:rsidR="00F05FA9" w:rsidRPr="00F82ED0" w14:paraId="72287F55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2651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BE61" w14:textId="228C607E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中国人群中PLCE1 rs2274223 A&gt;G基因多态性与胃癌易感性的meta分析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9631F" w14:textId="7E5E741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C702E" w14:textId="0899CBDE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钱小娟 </w:t>
            </w:r>
            <w:r w:rsidRPr="00A308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王和</w:t>
            </w:r>
            <w:proofErr w:type="gramStart"/>
            <w:r w:rsidRPr="00A3084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  <w:proofErr w:type="gramEnd"/>
          </w:p>
        </w:tc>
      </w:tr>
      <w:tr w:rsidR="00F05FA9" w:rsidRPr="00F82ED0" w14:paraId="0EE304FE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CBEE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1A3E" w14:textId="554FA0F0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基于网络药理学探讨荷叶治疗高血脂症的作用机制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7984" w14:textId="6ADE001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A9140" w14:textId="61B63138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陈凯</w:t>
            </w:r>
          </w:p>
        </w:tc>
      </w:tr>
      <w:tr w:rsidR="00F05FA9" w:rsidRPr="00F82ED0" w14:paraId="7C8826A3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355A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968F" w14:textId="5F675170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药师门诊药学服务实践与体会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D620" w14:textId="19AC21D0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4BDC" w14:textId="0EA0C5AA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花慧莲</w:t>
            </w:r>
            <w:proofErr w:type="gramEnd"/>
          </w:p>
        </w:tc>
      </w:tr>
      <w:tr w:rsidR="00F05FA9" w:rsidRPr="00F82ED0" w14:paraId="19BE25C9" w14:textId="71C678E1" w:rsidTr="00483D64">
        <w:trPr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34D4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A5500" w14:textId="4EB3F73B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丹红注射液对脑梗死患者神经功能缺损及血液流变学的影响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BAC61" w14:textId="692066C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D4BD" w14:textId="6DA6E28C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李娜 </w:t>
            </w:r>
            <w:proofErr w:type="gramStart"/>
            <w:r w:rsidRPr="00A30843">
              <w:rPr>
                <w:rFonts w:ascii="等线" w:eastAsia="等线" w:hAnsi="等线" w:cs="宋体"/>
                <w:color w:val="000000"/>
                <w:kern w:val="0"/>
                <w:sz w:val="22"/>
              </w:rPr>
              <w:t>花慧莲</w:t>
            </w:r>
            <w:proofErr w:type="gramEnd"/>
          </w:p>
        </w:tc>
        <w:tc>
          <w:tcPr>
            <w:tcW w:w="1418" w:type="dxa"/>
            <w:vAlign w:val="bottom"/>
          </w:tcPr>
          <w:p w14:paraId="6618564F" w14:textId="045F0BD2" w:rsidR="00F05FA9" w:rsidRPr="00F82ED0" w:rsidRDefault="00F05FA9" w:rsidP="00F05FA9">
            <w:pPr>
              <w:widowControl/>
              <w:jc w:val="left"/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7</w:t>
            </w:r>
          </w:p>
        </w:tc>
      </w:tr>
      <w:tr w:rsidR="00F05FA9" w:rsidRPr="00F82ED0" w14:paraId="63ED7BE2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62AB" w14:textId="7777777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FB03" w14:textId="34CE850E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大黄有效成分对糖尿病大鼠肾脏纤维化的保护作用及机制研究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7611C" w14:textId="71D34C2A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泰州市人民医院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196E" w14:textId="34448A5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李进东 </w:t>
            </w:r>
            <w:proofErr w:type="gramStart"/>
            <w:r w:rsidRPr="00A30843">
              <w:rPr>
                <w:rFonts w:ascii="等线" w:eastAsia="等线" w:hAnsi="等线" w:cs="宋体"/>
                <w:color w:val="000000"/>
                <w:kern w:val="0"/>
                <w:sz w:val="22"/>
              </w:rPr>
              <w:t>花慧莲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A30843">
              <w:rPr>
                <w:rFonts w:ascii="等线" w:eastAsia="等线" w:hAnsi="等线" w:cs="宋体"/>
                <w:color w:val="000000"/>
                <w:kern w:val="0"/>
                <w:sz w:val="22"/>
              </w:rPr>
              <w:t>陈丽娟</w:t>
            </w:r>
          </w:p>
        </w:tc>
      </w:tr>
      <w:tr w:rsidR="00F05FA9" w:rsidRPr="00F82ED0" w14:paraId="13D7F552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297B" w14:textId="6483415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8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535B0" w14:textId="661C12B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ICP-OES法同时测定葡萄糖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酸钙锌口服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溶液中钙离子和锌离子的含量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99141" w14:textId="5E06C30E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4F2B" w14:textId="3B575BA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李珏</w:t>
            </w:r>
          </w:p>
        </w:tc>
      </w:tr>
      <w:tr w:rsidR="00F05FA9" w:rsidRPr="00F82ED0" w14:paraId="44AF0D67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1651" w14:textId="3F2E14E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9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3FEDC" w14:textId="7AE1F33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HPLC法测定川芎清脑颗粒中8种成分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2B2B" w14:textId="493C164A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E42B" w14:textId="1E33913C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吴芸</w:t>
            </w:r>
          </w:p>
        </w:tc>
      </w:tr>
      <w:tr w:rsidR="00F05FA9" w:rsidRPr="00F82ED0" w14:paraId="3E85C0CC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02B6" w14:textId="75BB246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0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AEE0" w14:textId="7AE5C4D9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毛细管电泳大体积样品堆积技术分析鼠肝中金属硫蛋白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8809" w14:textId="5BBDBD8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AB81C" w14:textId="35FB5BDC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周小清 </w:t>
            </w:r>
            <w:r w:rsidRPr="00CF671E">
              <w:rPr>
                <w:rFonts w:ascii="等线" w:eastAsia="等线" w:hAnsi="等线" w:cs="宋体"/>
                <w:color w:val="000000"/>
                <w:kern w:val="0"/>
                <w:sz w:val="22"/>
              </w:rPr>
              <w:t>何蔓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/>
                <w:color w:val="000000"/>
                <w:kern w:val="0"/>
                <w:sz w:val="22"/>
              </w:rPr>
              <w:t>胡斌</w:t>
            </w:r>
          </w:p>
        </w:tc>
      </w:tr>
      <w:tr w:rsidR="00F05FA9" w:rsidRPr="00F82ED0" w14:paraId="6413297F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158C" w14:textId="45C965A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1619D" w14:textId="396C444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泰州市921例严重药品不良反应分析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AC85C" w14:textId="0983C703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542DF" w14:textId="34289129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费赟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王思凡</w:t>
            </w:r>
          </w:p>
        </w:tc>
      </w:tr>
      <w:tr w:rsidR="00F05FA9" w:rsidRPr="00F82ED0" w14:paraId="1DA8CBFE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C7B9" w14:textId="68590D7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9F534" w14:textId="7DE0D01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ICP-OES法同时测定复方铝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酸铋片中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铋、铝和镁元素的含量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07C12" w14:textId="349BD36E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49082" w14:textId="35627BC9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段希英</w:t>
            </w:r>
            <w:proofErr w:type="gramEnd"/>
          </w:p>
        </w:tc>
      </w:tr>
      <w:tr w:rsidR="00F05FA9" w:rsidRPr="00F82ED0" w14:paraId="0B5EDD38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9BB3" w14:textId="1593A23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3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0065B" w14:textId="391CE77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酚磺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乙胺注射液细菌内毒素检查方法的建立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0B34B" w14:textId="24E7E59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AFCBE" w14:textId="69D5426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钮晓淑</w:t>
            </w:r>
            <w:proofErr w:type="gramEnd"/>
          </w:p>
        </w:tc>
      </w:tr>
      <w:tr w:rsidR="00F05FA9" w:rsidRPr="00F82ED0" w14:paraId="490F37F7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8C16" w14:textId="7F00DAA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4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D6AC" w14:textId="718F1A11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HPLC同时测定蛇莓提取物中咖啡酸、紫云英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苷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和翻白叶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苷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A的含量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C648B" w14:textId="19E8007B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FD17" w14:textId="2875AA8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徐加兵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/>
                <w:color w:val="000000"/>
                <w:kern w:val="0"/>
                <w:sz w:val="22"/>
              </w:rPr>
              <w:t>叶慧</w:t>
            </w:r>
          </w:p>
        </w:tc>
      </w:tr>
      <w:tr w:rsidR="00F05FA9" w:rsidRPr="00F82ED0" w14:paraId="7C4497D4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EC0C" w14:textId="47C5B6E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82ED0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68917" w14:textId="43FF06C3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ICP-MS法同时测定无水亚硫酸钠中四种元素含量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5ED14" w14:textId="29B3431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4FB2C" w14:textId="63D47D3C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徐佳</w:t>
            </w:r>
            <w:proofErr w:type="gramEnd"/>
          </w:p>
        </w:tc>
      </w:tr>
      <w:tr w:rsidR="00F05FA9" w:rsidRPr="00F82ED0" w14:paraId="59948042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4955" w14:textId="2172B33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lastRenderedPageBreak/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6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901F1" w14:textId="46FFA34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伏立康唑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中的痕量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钯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残留的测定及其不确定评定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6000" w14:textId="58289E55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AD645" w14:textId="77777777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钱忠义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朱琼 </w:t>
            </w:r>
          </w:p>
          <w:p w14:paraId="604BDE1A" w14:textId="67883D7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钱保勇 葛薇薇</w:t>
            </w:r>
          </w:p>
        </w:tc>
      </w:tr>
      <w:tr w:rsidR="00F05FA9" w:rsidRPr="00F82ED0" w14:paraId="5171625F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D18B2" w14:textId="3DB5924A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kern w:val="0"/>
                <w:sz w:val="22"/>
              </w:rPr>
              <w:t>7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946AB" w14:textId="48775153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中药多糖的色谱研究进展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FE70" w14:textId="2477BC9D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F33E" w14:textId="1EACBCD2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钱晓翠</w:t>
            </w:r>
            <w:proofErr w:type="gramEnd"/>
          </w:p>
        </w:tc>
      </w:tr>
      <w:tr w:rsidR="00F05FA9" w:rsidRPr="00F82ED0" w14:paraId="3AEA187C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5C415" w14:textId="3319776E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18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01A25" w14:textId="2DFFA6A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注射用头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孢噻肟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钠的无菌检查法方法学研究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7BFF9" w14:textId="43A8A251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CBF0C" w14:textId="0A815529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董超琪</w:t>
            </w:r>
            <w:proofErr w:type="gramEnd"/>
          </w:p>
        </w:tc>
      </w:tr>
      <w:tr w:rsidR="00F05FA9" w:rsidRPr="00F82ED0" w14:paraId="7BD89333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B6C3" w14:textId="25134EAE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19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049ED" w14:textId="30D151C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四国药典中聚乙烯吡咯烷酮K90的pH测定及不确定度分析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1094C" w14:textId="693C4944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EA0B8" w14:textId="330E8D31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戴冬艳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李珏</w:t>
            </w:r>
          </w:p>
        </w:tc>
      </w:tr>
      <w:tr w:rsidR="00F05FA9" w:rsidRPr="00F82ED0" w14:paraId="5646D6A4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8DDD9" w14:textId="48C3F915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kern w:val="0"/>
                <w:sz w:val="22"/>
              </w:rPr>
              <w:t>0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397A3" w14:textId="2070EBA9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基于微波消解的ICP-OES法同时测定复方氢氧化铝片中铝离子                  和镁离子的含量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1ED4" w14:textId="270D7648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4AA52" w14:textId="4A7F715C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王董云</w:t>
            </w:r>
          </w:p>
        </w:tc>
      </w:tr>
      <w:tr w:rsidR="00F05FA9" w:rsidRPr="00F82ED0" w14:paraId="0729E4A6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28CD9" w14:textId="68CF2201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kern w:val="0"/>
                <w:sz w:val="22"/>
              </w:rPr>
              <w:t>1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247DD" w14:textId="15158B8C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HPLC-ICP-MS对接骨七厘片中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总砷及砷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形态含量分析研究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B9366" w14:textId="7697423D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266AD" w14:textId="23D509D6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朱琼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/>
                <w:color w:val="000000"/>
                <w:kern w:val="0"/>
                <w:sz w:val="22"/>
              </w:rPr>
              <w:t>方静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/>
                <w:color w:val="000000"/>
                <w:kern w:val="0"/>
                <w:sz w:val="22"/>
              </w:rPr>
              <w:t>蔡鹏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F671E">
              <w:rPr>
                <w:rFonts w:ascii="等线" w:eastAsia="等线" w:hAnsi="等线" w:cs="宋体"/>
                <w:color w:val="000000"/>
                <w:kern w:val="0"/>
                <w:sz w:val="22"/>
              </w:rPr>
              <w:t>钱保勇</w:t>
            </w:r>
          </w:p>
        </w:tc>
      </w:tr>
      <w:tr w:rsidR="00F05FA9" w:rsidRPr="00F82ED0" w14:paraId="64510A88" w14:textId="77777777" w:rsidTr="00C66C0E">
        <w:trPr>
          <w:gridAfter w:val="1"/>
          <w:wAfter w:w="1418" w:type="dxa"/>
          <w:trHeight w:val="4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3E2EF" w14:textId="754090C9" w:rsidR="00F05FA9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kern w:val="0"/>
                <w:sz w:val="22"/>
              </w:rPr>
              <w:t>2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5A9EB" w14:textId="24139B0F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The Influence of Temperature, Solvents on Crystal Transformation of </w:t>
            </w:r>
            <w:proofErr w:type="spell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Flibanserin</w:t>
            </w:r>
            <w:proofErr w:type="spell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: Form B to Form A（温度、溶剂及药用辅料（HPMC）对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氟班色林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晶型B转化为A过程的影响）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44D99" w14:textId="1F3045E6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泰州市食品药品检验所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1CD63" w14:textId="2884D237" w:rsidR="00F05FA9" w:rsidRPr="00F82ED0" w:rsidRDefault="00F05FA9" w:rsidP="00F05F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</w:tbl>
    <w:p w14:paraId="1A08190A" w14:textId="77777777" w:rsidR="00436600" w:rsidRPr="00436600" w:rsidRDefault="00436600" w:rsidP="00436600">
      <w:pPr>
        <w:widowControl/>
        <w:rPr>
          <w:rFonts w:ascii="方正小标宋简体" w:eastAsia="方正小标宋简体" w:hAnsi="宋体" w:cs="宋体"/>
          <w:b/>
          <w:bCs/>
          <w:color w:val="000000"/>
          <w:kern w:val="0"/>
          <w:sz w:val="28"/>
          <w:szCs w:val="28"/>
        </w:rPr>
      </w:pPr>
    </w:p>
    <w:p w14:paraId="38CC82ED" w14:textId="77777777" w:rsidR="00C739A3" w:rsidRPr="00436600" w:rsidRDefault="00C739A3"/>
    <w:sectPr w:rsidR="00C739A3" w:rsidRPr="00436600" w:rsidSect="004366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5DD9" w14:textId="77777777" w:rsidR="00A93328" w:rsidRDefault="00A93328" w:rsidP="00A30843">
      <w:r>
        <w:separator/>
      </w:r>
    </w:p>
  </w:endnote>
  <w:endnote w:type="continuationSeparator" w:id="0">
    <w:p w14:paraId="43CACA66" w14:textId="77777777" w:rsidR="00A93328" w:rsidRDefault="00A93328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TJ-PK7482000000a-Identity-H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423B" w14:textId="77777777" w:rsidR="00A93328" w:rsidRDefault="00A93328" w:rsidP="00A30843">
      <w:r>
        <w:separator/>
      </w:r>
    </w:p>
  </w:footnote>
  <w:footnote w:type="continuationSeparator" w:id="0">
    <w:p w14:paraId="2EC9066B" w14:textId="77777777" w:rsidR="00A93328" w:rsidRDefault="00A93328" w:rsidP="00A3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A3"/>
    <w:rsid w:val="001D5F7D"/>
    <w:rsid w:val="00436600"/>
    <w:rsid w:val="00563286"/>
    <w:rsid w:val="005F1EF2"/>
    <w:rsid w:val="00671EFD"/>
    <w:rsid w:val="00725C7F"/>
    <w:rsid w:val="0096612B"/>
    <w:rsid w:val="00A30843"/>
    <w:rsid w:val="00A93328"/>
    <w:rsid w:val="00C66C0E"/>
    <w:rsid w:val="00C739A3"/>
    <w:rsid w:val="00CF671E"/>
    <w:rsid w:val="00D70EEC"/>
    <w:rsid w:val="00D90BA2"/>
    <w:rsid w:val="00EA6B41"/>
    <w:rsid w:val="00F05FA9"/>
    <w:rsid w:val="00F21667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AE843"/>
  <w15:chartTrackingRefBased/>
  <w15:docId w15:val="{ADDB6846-B741-4A93-9DCC-46C29F91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0EEC"/>
    <w:rPr>
      <w:rFonts w:ascii="HTJ-PK7482000000a-Identity-H" w:eastAsia="HTJ-PK7482000000a-Identity-H" w:hAnsi="HTJ-PK7482000000a-Identity-H" w:cs="HTJ-PK7482000000a-Identity-H"/>
      <w:b w:val="0"/>
      <w:i w:val="0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3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8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08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0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祎</dc:creator>
  <cp:keywords/>
  <dc:description/>
  <cp:lastModifiedBy>王 祎</cp:lastModifiedBy>
  <cp:revision>10</cp:revision>
  <dcterms:created xsi:type="dcterms:W3CDTF">2018-11-19T03:10:00Z</dcterms:created>
  <dcterms:modified xsi:type="dcterms:W3CDTF">2019-11-13T05:23:00Z</dcterms:modified>
</cp:coreProperties>
</file>