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BD1E" w14:textId="2919E5B9" w:rsidR="00436600" w:rsidRDefault="00436600" w:rsidP="00F21667">
      <w:pPr>
        <w:widowControl/>
        <w:ind w:firstLineChars="1400" w:firstLine="4498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43660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泰州市2018年扬子江杯优秀论文评选结果</w:t>
      </w:r>
    </w:p>
    <w:p w14:paraId="618EC192" w14:textId="77777777" w:rsidR="00F82ED0" w:rsidRPr="00F82ED0" w:rsidRDefault="00F82ED0" w:rsidP="00F21667">
      <w:pPr>
        <w:widowControl/>
        <w:ind w:firstLineChars="1400" w:firstLine="4498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040"/>
        <w:gridCol w:w="7900"/>
        <w:gridCol w:w="3460"/>
        <w:gridCol w:w="2621"/>
      </w:tblGrid>
      <w:tr w:rsidR="00F82ED0" w:rsidRPr="00F82ED0" w14:paraId="7B4E8A1E" w14:textId="77777777" w:rsidTr="00F82ED0">
        <w:trPr>
          <w:trHeight w:val="44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A7F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F82ED0" w:rsidRPr="00F82ED0" w14:paraId="0CA529C8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4E4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932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01D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0E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</w:tr>
      <w:tr w:rsidR="00F82ED0" w:rsidRPr="00F82ED0" w14:paraId="18003CE2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85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8A9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盐酸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吉西他滨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及其制剂中新杂质的合成、鉴定和质量研究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501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B4B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鲍美玲 李国贤 董志奎</w:t>
            </w:r>
          </w:p>
        </w:tc>
      </w:tr>
      <w:tr w:rsidR="00F82ED0" w:rsidRPr="00F82ED0" w14:paraId="19340FFF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608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36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大黄游离蒽醌对早期糖尿病大鼠肾脏损伤的保护作用及机制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6BC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E76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李进冬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李智勤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陈丽娟</w:t>
            </w:r>
          </w:p>
        </w:tc>
      </w:tr>
      <w:tr w:rsidR="00F82ED0" w:rsidRPr="00F82ED0" w14:paraId="5CDF9926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583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1B9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HPLC-CAD法测定银杏叶片中萜类内酯含量的研究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2ED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37F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陈骁鹏</w:t>
            </w:r>
          </w:p>
        </w:tc>
      </w:tr>
      <w:tr w:rsidR="00F82ED0" w:rsidRPr="00F82ED0" w14:paraId="5AA30D9C" w14:textId="77777777" w:rsidTr="00F82ED0">
        <w:trPr>
          <w:trHeight w:val="44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208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 w:rsidR="00F82ED0" w:rsidRPr="00F82ED0" w14:paraId="142E6C32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60F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5DE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604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C0E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F82ED0" w:rsidRPr="00F82ED0" w14:paraId="6FD62BCD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7C1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AC54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药材枇杷花中一个黄酮类成分的分离鉴定及其含量测定研究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8B8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F6E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冯瑞红</w:t>
            </w:r>
          </w:p>
        </w:tc>
      </w:tr>
      <w:tr w:rsidR="00F82ED0" w:rsidRPr="00F82ED0" w14:paraId="49157574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56C8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DB2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黄蜀葵花指纹图谱检测方法研究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05E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江苏苏中药业集团股份有限公司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C19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钱红梅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肖加凤</w:t>
            </w:r>
            <w:proofErr w:type="gramEnd"/>
          </w:p>
        </w:tc>
      </w:tr>
      <w:tr w:rsidR="00F82ED0" w:rsidRPr="00F82ED0" w14:paraId="7D733B3B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B49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C95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某院鲍曼不动杆菌耐药性与抗菌药物强度相关性分析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E93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DD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马莹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陈瑶 张庆芳 </w:t>
            </w:r>
          </w:p>
        </w:tc>
      </w:tr>
      <w:tr w:rsidR="00F82ED0" w:rsidRPr="00F82ED0" w14:paraId="35B5310D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419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158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康妇消炎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栓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联合莫西沙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星治疗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盆腔炎性疾病有效性与安全性系统评价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A32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兴化市人民医院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F73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李梅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戚宝和</w:t>
            </w:r>
            <w:proofErr w:type="gramEnd"/>
          </w:p>
        </w:tc>
      </w:tr>
      <w:tr w:rsidR="00F82ED0" w:rsidRPr="00F82ED0" w14:paraId="27428EB6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8B2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13D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HPLC法测定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消旋山莨菪碱滴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眼液中苯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扎溴铵的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03E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AB7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吴珺</w:t>
            </w:r>
          </w:p>
        </w:tc>
      </w:tr>
      <w:tr w:rsidR="00F82ED0" w:rsidRPr="00F82ED0" w14:paraId="45DAE421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ADB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17E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采用LC-MS法对奥美拉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唑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的降解产物进行初步研究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CB4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BB1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段希英</w:t>
            </w:r>
            <w:proofErr w:type="gramEnd"/>
          </w:p>
        </w:tc>
      </w:tr>
      <w:tr w:rsidR="00F82ED0" w:rsidRPr="00F82ED0" w14:paraId="225B4C2F" w14:textId="77777777" w:rsidTr="00F82ED0">
        <w:trPr>
          <w:trHeight w:val="44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51C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F82ED0" w:rsidRPr="00F82ED0" w14:paraId="28AD451A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80A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D9D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2E6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CEE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F82ED0" w:rsidRPr="00F82ED0" w14:paraId="30EBC941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A98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DC0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靖江市审方中心建设与实践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8B7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靖江市人民医院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859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赵广玉</w:t>
            </w:r>
          </w:p>
        </w:tc>
      </w:tr>
      <w:tr w:rsidR="00F82ED0" w:rsidRPr="00F82ED0" w14:paraId="4111AC30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87B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A3A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品管圈在降低住院药房出院带药调配差错中的应用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743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21B4" w14:textId="2A2F7080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刘舒 毛耀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南 钱小娟 </w:t>
            </w:r>
            <w:r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bookmarkStart w:id="0" w:name="_GoBack"/>
            <w:bookmarkEnd w:id="0"/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朱鹏翔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陈庆年</w:t>
            </w:r>
          </w:p>
        </w:tc>
      </w:tr>
      <w:tr w:rsidR="00F82ED0" w:rsidRPr="00F82ED0" w14:paraId="2ABB59A1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974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A4C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240例缺血性脑卒中住院患者的临床用药特征分析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B33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636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张燕 林秋霞 王维忠</w:t>
            </w:r>
          </w:p>
        </w:tc>
      </w:tr>
      <w:tr w:rsidR="00F82ED0" w:rsidRPr="00F82ED0" w14:paraId="0C6DE1FA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43B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8F3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猪苓药材中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甾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体类成分HPLC特征图谱研究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BCD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B8A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李娟</w:t>
            </w:r>
          </w:p>
        </w:tc>
      </w:tr>
      <w:tr w:rsidR="00F82ED0" w:rsidRPr="00F82ED0" w14:paraId="4FFE39D1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E37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86E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优化制粒参数提高小儿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豉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翘清热颗粒</w:t>
            </w: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br/>
              <w:t>（无蔗糖）生产效率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2B3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济川药业集团有限公司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059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李新平 崔德明 潘梓恒</w:t>
            </w:r>
          </w:p>
        </w:tc>
      </w:tr>
      <w:tr w:rsidR="00F82ED0" w:rsidRPr="00F82ED0" w14:paraId="58E85589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E25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E2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盐酸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米诺环素中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甲醛含量的HPLC测定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6A7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53B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鲍美玲 李国贤 董志奎</w:t>
            </w:r>
          </w:p>
        </w:tc>
      </w:tr>
      <w:tr w:rsidR="00F82ED0" w:rsidRPr="00F82ED0" w14:paraId="35E67D45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575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688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沉淀聚合制备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恩诺沙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星印迹微球及其药物释放研究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991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30C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王董云</w:t>
            </w:r>
          </w:p>
        </w:tc>
      </w:tr>
      <w:tr w:rsidR="00F82ED0" w:rsidRPr="00F82ED0" w14:paraId="26E1BA8A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948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344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离子色谱法测定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利多卡因氯己定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气雾剂中苯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扎溴铵的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E3E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EE8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钱忠义  吴珺</w:t>
            </w:r>
          </w:p>
        </w:tc>
      </w:tr>
      <w:tr w:rsidR="00F82ED0" w:rsidRPr="00F82ED0" w14:paraId="23D1B8BB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F8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84C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电感耦合等离子体发射光谱法测定不同产地丹参中的微量元素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C2F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ADE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朱 琼</w:t>
            </w:r>
          </w:p>
        </w:tc>
      </w:tr>
      <w:tr w:rsidR="00F82ED0" w:rsidRPr="00F82ED0" w14:paraId="423DEB0A" w14:textId="77777777" w:rsidTr="00F82ED0">
        <w:trPr>
          <w:trHeight w:val="44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A8D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鼓励奖</w:t>
            </w:r>
          </w:p>
        </w:tc>
      </w:tr>
      <w:tr w:rsidR="00F82ED0" w:rsidRPr="00F82ED0" w14:paraId="38DF1E58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FA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364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770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1CD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F82ED0" w:rsidRPr="00F82ED0" w14:paraId="5F25533B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EAA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52C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临床药师对一例非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甾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体抗炎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药相关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消化性溃疡出血患者的药学服务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1EF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04A8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李娜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马莹</w:t>
            </w:r>
            <w:proofErr w:type="gramEnd"/>
          </w:p>
        </w:tc>
      </w:tr>
      <w:tr w:rsidR="00F82ED0" w:rsidRPr="00F82ED0" w14:paraId="008C37F3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F31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D8C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静脉用药物常见不适宜医嘱分析及临床干预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1EB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靖江市人民医院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4D8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张 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珂</w:t>
            </w:r>
            <w:proofErr w:type="gramEnd"/>
          </w:p>
        </w:tc>
      </w:tr>
      <w:tr w:rsidR="00F82ED0" w:rsidRPr="00F82ED0" w14:paraId="72287F55" w14:textId="77777777" w:rsidTr="00F82ED0">
        <w:trPr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265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BE6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替罗非班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在脑卒中急性期的应用进展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631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靖江市人民医院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702E" w14:textId="7DDDF6CF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钮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佳丽 赵广玉 陈宏俊 </w:t>
            </w:r>
            <w:r>
              <w:rPr>
                <w:rFonts w:ascii="等线" w:eastAsia="等线" w:hAnsi="等线" w:cs="宋体"/>
                <w:kern w:val="0"/>
                <w:sz w:val="22"/>
              </w:rPr>
              <w:t xml:space="preserve">  </w:t>
            </w: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黄继勋</w:t>
            </w:r>
          </w:p>
        </w:tc>
      </w:tr>
      <w:tr w:rsidR="00F82ED0" w:rsidRPr="00F82ED0" w14:paraId="0EE304FE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BE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1A3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阳光用药监管平台对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医保控费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的成效分析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798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兴化市人民医院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914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戚宝和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徐正龙</w:t>
            </w:r>
          </w:p>
        </w:tc>
      </w:tr>
      <w:tr w:rsidR="00F82ED0" w:rsidRPr="00F82ED0" w14:paraId="7C8826A3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355A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968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美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洛昔康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片处方工艺研究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D62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4BDC" w14:textId="47525F35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陈瑜 贾斌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秦琴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 xml:space="preserve"> 董志奎 </w:t>
            </w:r>
            <w:r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石莹</w:t>
            </w:r>
            <w:proofErr w:type="gramEnd"/>
          </w:p>
        </w:tc>
      </w:tr>
      <w:tr w:rsidR="00F82ED0" w:rsidRPr="00F82ED0" w14:paraId="19BE25C9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34D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550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HPLC法测定磷酸特地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唑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胺有关物质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AC6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D4B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张静</w:t>
            </w:r>
          </w:p>
        </w:tc>
      </w:tr>
      <w:tr w:rsidR="00F82ED0" w:rsidRPr="00F82ED0" w14:paraId="63ED7BE2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62A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FB0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不同产地银杏叶多糖组成及单糖含量分析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611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196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姜玮 陈骁鹏 叶慧</w:t>
            </w:r>
          </w:p>
        </w:tc>
      </w:tr>
      <w:tr w:rsidR="00F82ED0" w:rsidRPr="00F82ED0" w14:paraId="59FFF775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6EA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0FE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复方银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翘氨敏胶囊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中维生素C与对乙酰氨基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酚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的溶出度测定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E7D5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CB3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李珏</w:t>
            </w:r>
          </w:p>
        </w:tc>
      </w:tr>
      <w:tr w:rsidR="00F82ED0" w:rsidRPr="00F82ED0" w14:paraId="13D7F552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297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35B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ICP-MS法测定痰热清注射液中的5种重金属元素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914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4F2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方静</w:t>
            </w:r>
          </w:p>
        </w:tc>
      </w:tr>
      <w:tr w:rsidR="00F82ED0" w:rsidRPr="00F82ED0" w14:paraId="44AF0D67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1651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FED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卡式炉-卡尔费休法测定叶酸水分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2B2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E42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赵慧 张才煜</w:t>
            </w:r>
          </w:p>
        </w:tc>
      </w:tr>
      <w:tr w:rsidR="00F82ED0" w:rsidRPr="00F82ED0" w14:paraId="3E85C0CC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02B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AEE0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多指标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优选石丹颗粒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水提液除杂工艺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880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B81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徐佳</w:t>
            </w:r>
            <w:proofErr w:type="gramEnd"/>
          </w:p>
        </w:tc>
      </w:tr>
      <w:tr w:rsidR="00F82ED0" w:rsidRPr="00F82ED0" w14:paraId="6413297F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158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619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色谱柱及标准曲线的选择对HPGPC法测定右旋糖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酐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分子量及分子量分布的影响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C85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42DF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程冬</w:t>
            </w:r>
            <w:proofErr w:type="gramEnd"/>
          </w:p>
        </w:tc>
      </w:tr>
      <w:tr w:rsidR="00F82ED0" w:rsidRPr="00F82ED0" w14:paraId="1DA8CBFE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C7B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F53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ICP-MS法测定生脉注射液中14种元素的含量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7C1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泰州市食品药品检验所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9082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黄小琴 钱保勇</w:t>
            </w:r>
          </w:p>
        </w:tc>
      </w:tr>
      <w:tr w:rsidR="00F82ED0" w:rsidRPr="00F82ED0" w14:paraId="0B5EDD38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9BB3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065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浅谈如何做好两票制的推行工作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34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江苏三江医药有限公司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FCBE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朱卫兰</w:t>
            </w:r>
            <w:proofErr w:type="gramEnd"/>
          </w:p>
        </w:tc>
      </w:tr>
      <w:tr w:rsidR="00F82ED0" w:rsidRPr="00F82ED0" w14:paraId="6E4C9379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58CD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97C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仑伐替尼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在肝癌治疗中的研究进展和市场分析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597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扬子江药业集团有限公司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AA29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李鹏飞</w:t>
            </w:r>
          </w:p>
        </w:tc>
      </w:tr>
      <w:tr w:rsidR="00F82ED0" w:rsidRPr="00F82ED0" w14:paraId="490F37F7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8C16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D6A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中药经方治疗小儿变应性鼻炎的临床研究进展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648B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江苏苏中药业集团股份有限公司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FD1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吴素琪</w:t>
            </w:r>
            <w:proofErr w:type="gramEnd"/>
          </w:p>
        </w:tc>
      </w:tr>
      <w:tr w:rsidR="00F82ED0" w:rsidRPr="00F82ED0" w14:paraId="7C4497D4" w14:textId="77777777" w:rsidTr="00F82ED0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EC0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8917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麦冬中多效</w:t>
            </w:r>
            <w:proofErr w:type="gramStart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唑</w:t>
            </w:r>
            <w:proofErr w:type="gramEnd"/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残留量的检测方法研究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ED14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江苏苏中药业集团股份有限公司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FB2C" w14:textId="77777777" w:rsidR="00F82ED0" w:rsidRPr="00F82ED0" w:rsidRDefault="00F82ED0" w:rsidP="00F82E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钱红梅 宋秋凤</w:t>
            </w:r>
          </w:p>
        </w:tc>
      </w:tr>
    </w:tbl>
    <w:p w14:paraId="1A08190A" w14:textId="77777777" w:rsidR="00436600" w:rsidRPr="00436600" w:rsidRDefault="00436600" w:rsidP="00436600">
      <w:pPr>
        <w:widowControl/>
        <w:rPr>
          <w:rFonts w:ascii="方正小标宋简体" w:eastAsia="方正小标宋简体" w:hAnsi="宋体" w:cs="宋体"/>
          <w:b/>
          <w:bCs/>
          <w:color w:val="000000"/>
          <w:kern w:val="0"/>
          <w:sz w:val="28"/>
          <w:szCs w:val="28"/>
        </w:rPr>
      </w:pPr>
    </w:p>
    <w:p w14:paraId="38CC82ED" w14:textId="77777777" w:rsidR="00C739A3" w:rsidRPr="00436600" w:rsidRDefault="00C739A3"/>
    <w:sectPr w:rsidR="00C739A3" w:rsidRPr="00436600" w:rsidSect="00436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3"/>
    <w:rsid w:val="00436600"/>
    <w:rsid w:val="00C739A3"/>
    <w:rsid w:val="00F21667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E843"/>
  <w15:chartTrackingRefBased/>
  <w15:docId w15:val="{ADDB6846-B741-4A93-9DCC-46C29F91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祎</dc:creator>
  <cp:keywords/>
  <dc:description/>
  <cp:lastModifiedBy>王 祎</cp:lastModifiedBy>
  <cp:revision>5</cp:revision>
  <dcterms:created xsi:type="dcterms:W3CDTF">2018-11-19T03:10:00Z</dcterms:created>
  <dcterms:modified xsi:type="dcterms:W3CDTF">2018-11-19T03:37:00Z</dcterms:modified>
</cp:coreProperties>
</file>